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142" w:rsidRPr="00EA5142" w:rsidRDefault="00EA5142" w:rsidP="00EA5142">
      <w:pPr>
        <w:widowControl/>
        <w:adjustRightInd w:val="0"/>
        <w:snapToGrid w:val="0"/>
        <w:jc w:val="center"/>
        <w:outlineLvl w:val="2"/>
        <w:rPr>
          <w:rFonts w:ascii="黑体;" w:eastAsia="黑体;" w:hAnsi="宋体" w:cs="宋体"/>
          <w:b/>
          <w:bCs/>
          <w:color w:val="111111"/>
          <w:kern w:val="0"/>
          <w:szCs w:val="21"/>
        </w:rPr>
      </w:pPr>
      <w:r w:rsidRPr="00EA5142">
        <w:rPr>
          <w:rFonts w:ascii="黑体;" w:eastAsia="黑体;" w:hAnsi="宋体" w:cs="宋体" w:hint="eastAsia"/>
          <w:b/>
          <w:bCs/>
          <w:color w:val="111111"/>
          <w:kern w:val="0"/>
          <w:szCs w:val="21"/>
        </w:rPr>
        <w:t>福建省教育厅等十一部门关于印发福建省加强中小学生欺凌综合治理实施方案的通知</w:t>
      </w:r>
    </w:p>
    <w:p w:rsidR="00EA5142" w:rsidRPr="00EA5142" w:rsidRDefault="00EA5142" w:rsidP="00EA5142">
      <w:pPr>
        <w:widowControl/>
        <w:adjustRightInd w:val="0"/>
        <w:snapToGrid w:val="0"/>
        <w:jc w:val="center"/>
        <w:outlineLvl w:val="3"/>
        <w:rPr>
          <w:rFonts w:ascii="宋体" w:eastAsia="宋体" w:hAnsi="宋体" w:cs="宋体" w:hint="eastAsia"/>
          <w:b/>
          <w:bCs/>
          <w:color w:val="111111"/>
          <w:kern w:val="0"/>
          <w:szCs w:val="21"/>
        </w:rPr>
      </w:pPr>
      <w:proofErr w:type="gramStart"/>
      <w:r w:rsidRPr="00EA5142">
        <w:rPr>
          <w:rFonts w:ascii="宋体" w:eastAsia="宋体" w:hAnsi="宋体" w:cs="宋体" w:hint="eastAsia"/>
          <w:b/>
          <w:bCs/>
          <w:color w:val="111111"/>
          <w:kern w:val="0"/>
          <w:szCs w:val="21"/>
        </w:rPr>
        <w:t>闽教安</w:t>
      </w:r>
      <w:proofErr w:type="gramEnd"/>
      <w:r w:rsidRPr="00EA5142">
        <w:rPr>
          <w:rFonts w:ascii="宋体" w:eastAsia="宋体" w:hAnsi="宋体" w:cs="宋体" w:hint="eastAsia"/>
          <w:b/>
          <w:bCs/>
          <w:color w:val="111111"/>
          <w:kern w:val="0"/>
          <w:szCs w:val="21"/>
        </w:rPr>
        <w:t>〔2018〕19号</w:t>
      </w:r>
    </w:p>
    <w:p w:rsidR="00EA5142" w:rsidRPr="00EA5142" w:rsidRDefault="00EA5142" w:rsidP="00EA5142">
      <w:pPr>
        <w:widowControl/>
        <w:pBdr>
          <w:bottom w:val="dotted" w:sz="6" w:space="0" w:color="CCCCCC"/>
        </w:pBdr>
        <w:adjustRightInd w:val="0"/>
        <w:snapToGrid w:val="0"/>
        <w:spacing w:line="750" w:lineRule="atLeast"/>
        <w:jc w:val="center"/>
        <w:outlineLvl w:val="1"/>
        <w:rPr>
          <w:rFonts w:ascii="宋体" w:eastAsia="宋体" w:hAnsi="宋体" w:cs="宋体" w:hint="eastAsia"/>
          <w:color w:val="333333"/>
          <w:kern w:val="36"/>
          <w:szCs w:val="21"/>
        </w:rPr>
      </w:pPr>
      <w:r w:rsidRPr="00EA5142">
        <w:rPr>
          <w:rFonts w:ascii="宋体" w:eastAsia="宋体" w:hAnsi="宋体" w:cs="宋体" w:hint="eastAsia"/>
          <w:color w:val="2365A8"/>
          <w:kern w:val="36"/>
          <w:szCs w:val="21"/>
        </w:rPr>
        <w:t xml:space="preserve">发布日期: </w:t>
      </w:r>
      <w:r w:rsidRPr="00EA5142">
        <w:rPr>
          <w:rFonts w:ascii="宋体" w:eastAsia="宋体" w:hAnsi="宋体" w:cs="宋体" w:hint="eastAsia"/>
          <w:color w:val="333333"/>
          <w:kern w:val="36"/>
          <w:szCs w:val="21"/>
        </w:rPr>
        <w:t>2018-06-08 16:20</w:t>
      </w:r>
      <w:r w:rsidRPr="00EA5142">
        <w:rPr>
          <w:rFonts w:ascii="宋体" w:eastAsia="宋体" w:hAnsi="宋体" w:cs="宋体" w:hint="eastAsia"/>
          <w:color w:val="2365A8"/>
          <w:kern w:val="36"/>
          <w:szCs w:val="21"/>
        </w:rPr>
        <w:t>浏览次数:</w:t>
      </w:r>
      <w:r w:rsidRPr="00EA5142">
        <w:rPr>
          <w:rFonts w:ascii="宋体" w:eastAsia="宋体" w:hAnsi="宋体" w:cs="宋体" w:hint="eastAsia"/>
          <w:color w:val="333333"/>
          <w:kern w:val="36"/>
          <w:szCs w:val="21"/>
        </w:rPr>
        <w:t xml:space="preserve">160 </w:t>
      </w:r>
      <w:r w:rsidRPr="00EA5142">
        <w:rPr>
          <w:rFonts w:ascii="宋体" w:eastAsia="宋体" w:hAnsi="宋体" w:cs="宋体" w:hint="eastAsia"/>
          <w:color w:val="2365A8"/>
          <w:kern w:val="36"/>
          <w:szCs w:val="21"/>
        </w:rPr>
        <w:t>字体显示：</w:t>
      </w:r>
      <w:r w:rsidRPr="00EA5142">
        <w:rPr>
          <w:rFonts w:ascii="宋体" w:eastAsia="宋体" w:hAnsi="宋体" w:cs="宋体" w:hint="eastAsia"/>
          <w:color w:val="333333"/>
          <w:kern w:val="36"/>
          <w:szCs w:val="21"/>
        </w:rPr>
        <w:t>[</w:t>
      </w:r>
      <w:hyperlink r:id="rId4" w:history="1">
        <w:r w:rsidRPr="00EA5142">
          <w:rPr>
            <w:rFonts w:ascii="宋体" w:eastAsia="宋体" w:hAnsi="宋体" w:cs="宋体" w:hint="eastAsia"/>
            <w:color w:val="333333"/>
            <w:kern w:val="36"/>
            <w:szCs w:val="21"/>
          </w:rPr>
          <w:t>大</w:t>
        </w:r>
      </w:hyperlink>
      <w:r w:rsidRPr="00EA5142">
        <w:rPr>
          <w:rFonts w:ascii="宋体" w:eastAsia="宋体" w:hAnsi="宋体" w:cs="宋体" w:hint="eastAsia"/>
          <w:color w:val="333333"/>
          <w:kern w:val="36"/>
          <w:szCs w:val="21"/>
        </w:rPr>
        <w:t>] [</w:t>
      </w:r>
      <w:hyperlink r:id="rId5" w:history="1">
        <w:r w:rsidRPr="00EA5142">
          <w:rPr>
            <w:rFonts w:ascii="宋体" w:eastAsia="宋体" w:hAnsi="宋体" w:cs="宋体" w:hint="eastAsia"/>
            <w:color w:val="333333"/>
            <w:kern w:val="36"/>
            <w:szCs w:val="21"/>
          </w:rPr>
          <w:t>中</w:t>
        </w:r>
      </w:hyperlink>
      <w:r w:rsidRPr="00EA5142">
        <w:rPr>
          <w:rFonts w:ascii="宋体" w:eastAsia="宋体" w:hAnsi="宋体" w:cs="宋体" w:hint="eastAsia"/>
          <w:color w:val="333333"/>
          <w:kern w:val="36"/>
          <w:szCs w:val="21"/>
        </w:rPr>
        <w:t>] [</w:t>
      </w:r>
      <w:hyperlink r:id="rId6" w:history="1">
        <w:r w:rsidRPr="00EA5142">
          <w:rPr>
            <w:rFonts w:ascii="宋体" w:eastAsia="宋体" w:hAnsi="宋体" w:cs="宋体" w:hint="eastAsia"/>
            <w:color w:val="333333"/>
            <w:kern w:val="36"/>
            <w:szCs w:val="21"/>
          </w:rPr>
          <w:t>小</w:t>
        </w:r>
      </w:hyperlink>
      <w:r w:rsidRPr="00EA5142">
        <w:rPr>
          <w:rFonts w:ascii="宋体" w:eastAsia="宋体" w:hAnsi="宋体" w:cs="宋体" w:hint="eastAsia"/>
          <w:color w:val="333333"/>
          <w:kern w:val="36"/>
          <w:szCs w:val="21"/>
        </w:rPr>
        <w:t xml:space="preserve">] </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各设区市教育局、综治办、人民法院、人民检察院、公安局、民政局、司法局、人力资源和社会保障局、团委、妇联、残联，平潭综合实验区教育局、综治办、人民法院、人民检察院、公安局、社会事业局、司法局、人力资源和社会保障局、团委、妇联、残联，省（部）属高校，厅属中职学校、中小学：</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现将《福建省加强中小学生欺凌综合治理实施方案》印发给你们，请遵照执行。</w:t>
      </w:r>
    </w:p>
    <w:p w:rsidR="00EA5142" w:rsidRPr="00EA5142" w:rsidRDefault="00EA5142" w:rsidP="00EA5142">
      <w:pPr>
        <w:widowControl/>
        <w:adjustRightInd w:val="0"/>
        <w:snapToGrid w:val="0"/>
        <w:spacing w:line="510" w:lineRule="atLeast"/>
        <w:jc w:val="righ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福建省教育厅       福建省综治办    福建省高级人民法院</w:t>
      </w:r>
    </w:p>
    <w:p w:rsidR="00EA5142" w:rsidRPr="00EA5142" w:rsidRDefault="00EA5142" w:rsidP="00EA5142">
      <w:pPr>
        <w:widowControl/>
        <w:adjustRightInd w:val="0"/>
        <w:snapToGrid w:val="0"/>
        <w:spacing w:line="510" w:lineRule="atLeast"/>
        <w:jc w:val="righ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福建省人民检察院    福建省公安厅     福建省民政厅</w:t>
      </w:r>
    </w:p>
    <w:p w:rsidR="00EA5142" w:rsidRPr="00EA5142" w:rsidRDefault="00EA5142" w:rsidP="00EA5142">
      <w:pPr>
        <w:widowControl/>
        <w:adjustRightInd w:val="0"/>
        <w:snapToGrid w:val="0"/>
        <w:spacing w:line="510" w:lineRule="atLeast"/>
        <w:jc w:val="righ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福建省司法厅         福建省人力资源和社会保障厅</w:t>
      </w:r>
    </w:p>
    <w:p w:rsidR="00EA5142" w:rsidRPr="00EA5142" w:rsidRDefault="00EA5142" w:rsidP="00EA5142">
      <w:pPr>
        <w:widowControl/>
        <w:adjustRightInd w:val="0"/>
        <w:snapToGrid w:val="0"/>
        <w:spacing w:line="510" w:lineRule="atLeast"/>
        <w:jc w:val="righ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共青团福建省委   福建省妇女联合会  福建省残联人联合会</w:t>
      </w:r>
    </w:p>
    <w:p w:rsidR="00EA5142" w:rsidRPr="00EA5142" w:rsidRDefault="00EA5142" w:rsidP="00EA5142">
      <w:pPr>
        <w:widowControl/>
        <w:adjustRightInd w:val="0"/>
        <w:snapToGrid w:val="0"/>
        <w:spacing w:line="510" w:lineRule="atLeast"/>
        <w:jc w:val="righ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2018年6月7日</w:t>
      </w:r>
    </w:p>
    <w:p w:rsidR="00EA5142" w:rsidRPr="00EA5142" w:rsidRDefault="00EA5142" w:rsidP="00EA5142">
      <w:pPr>
        <w:widowControl/>
        <w:adjustRightInd w:val="0"/>
        <w:snapToGrid w:val="0"/>
        <w:spacing w:line="510" w:lineRule="atLeast"/>
        <w:jc w:val="center"/>
        <w:rPr>
          <w:rFonts w:ascii="宋体" w:eastAsia="宋体" w:hAnsi="宋体" w:cs="宋体" w:hint="eastAsia"/>
          <w:color w:val="333333"/>
          <w:kern w:val="0"/>
          <w:szCs w:val="21"/>
        </w:rPr>
      </w:pPr>
      <w:r w:rsidRPr="00EA5142">
        <w:rPr>
          <w:rFonts w:ascii="宋体" w:eastAsia="宋体" w:hAnsi="宋体" w:cs="宋体" w:hint="eastAsia"/>
          <w:b/>
          <w:bCs/>
          <w:color w:val="333333"/>
          <w:kern w:val="0"/>
          <w:szCs w:val="21"/>
        </w:rPr>
        <w:t>福建省加强中小学生欺凌综合治理实施方案</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为深入贯彻习近平新时代中国特色社会主义思想和党的十九大精神，有效防治中小学生欺凌，根据相关法律法规和《教育部等十一部门关于印发&lt;加强中小学生欺凌综合治理方案&gt;的通知》（教督〔2017〕10号），结合我省实际情况，制定本实施方案。</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一、指导思想</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以习近平新时代中国特色社会主义思想为指导，全面贯彻党的教育方针，落实立德树人根本任务，大力培育和弘扬社会主义核心价值观，不断提高中小学生思想道德素质，健全预防、处置学生欺凌的工作体制和规章制度，以形成防治中小学生欺凌长效机制为目标，以促进部门协作、上下联动、形成合力为保障，确保中小学生欺凌防治工作落到实处，把校园建设成为最安全、</w:t>
      </w:r>
      <w:proofErr w:type="gramStart"/>
      <w:r w:rsidRPr="00EA5142">
        <w:rPr>
          <w:rFonts w:ascii="宋体" w:eastAsia="宋体" w:hAnsi="宋体" w:cs="宋体" w:hint="eastAsia"/>
          <w:color w:val="333333"/>
          <w:kern w:val="0"/>
          <w:szCs w:val="21"/>
        </w:rPr>
        <w:t>最</w:t>
      </w:r>
      <w:proofErr w:type="gramEnd"/>
      <w:r w:rsidRPr="00EA5142">
        <w:rPr>
          <w:rFonts w:ascii="宋体" w:eastAsia="宋体" w:hAnsi="宋体" w:cs="宋体" w:hint="eastAsia"/>
          <w:color w:val="333333"/>
          <w:kern w:val="0"/>
          <w:szCs w:val="21"/>
        </w:rPr>
        <w:t>阳光的地方，办好人民满意的教育，为培养德智体美全面发展的社会主义建设者和接班人创造良好条件。</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二、基本原则</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（一）坚持教育为先。深入开展中小学生思想道德教育、法治教育、心理健康教育，促进提高人民群众的思想觉悟、道德水准、文明素养，提高全社会文明程度，特别要加强</w:t>
      </w:r>
      <w:r w:rsidRPr="00EA5142">
        <w:rPr>
          <w:rFonts w:ascii="宋体" w:eastAsia="宋体" w:hAnsi="宋体" w:cs="宋体" w:hint="eastAsia"/>
          <w:color w:val="333333"/>
          <w:kern w:val="0"/>
          <w:szCs w:val="21"/>
        </w:rPr>
        <w:lastRenderedPageBreak/>
        <w:t>防治学生欺凌专题教育，培养校长、教师、学生及家长等不同群体积极预防和自觉反对学生欺凌的意识。</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（二）坚持预防为主。完善有关规章制度，及时排查可能导致学生欺凌事件发生的苗头隐患，强化学校及周边日常安全管理，加强欺凌事件易发现场监管，完善学生寻求帮助的维权渠道。</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（三）坚持保护为要。切实保障学生的合法权益，严格保护学生隐私，尊重学生的人格尊严。切实保护被欺凌学生的身心建康，防止二次伤害发生，帮助被欺凌学生尽早恢复正常的学习生活。</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（四）坚持法治为基。按照全面依法治国的要求，依法依规处置学生欺凌事件，按照“宽容不纵容、关爱又严管”的原则，对实施欺凌的学生予以必要的处置及惩戒，及时纠正不当行为。</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三、治理内容及措施</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（一）明确中小学生欺凌的界定</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中小学生欺凌是发生在中小学校、中等职业学校和特殊教育学校校园内外、学生之间，一方个体或群体学生单次或多次蓄意或恶意通过肢体、语言及网络等手段实施欺负、侮辱或诽谤，造成另一方个体或群体学生身体伤害、财产损失或精神损害等的事件。</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在实际工作中，要正确识别学生欺凌，严格区分学生欺凌与学生间打闹嬉戏行为。</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（二）建立健全协调机制</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各地教育行政部门要组织协调有关部门、群团组织成立防治学生欺凌工作领导小组，建立健全防治学生欺凌工作协调机制，统筹推进学生欺凌治理工作，妥善处理学生欺凌重大事件，正确引导媒体和网络舆情。教育行政部门和学校要重点抓好校园内欺凌事件的预防和处置；各部门要加强协作，综合治理，做好校园外欺凌事件的预防和处置。</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（三）积极有效预防</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1.指导学校切实加强教育。各地教育行政部门要负责将《公共安全教育》地方课程落实到位，督促学校开展涉及防范中小学生欺凌的思想道德教育、法治教育、心理健康教育、安全教育等专题教育。中小学校要保证《公共安全教育》师资和课时，通过期初集中开展教育，期中在《道德与法治》等课程中专门设置教学模块等方式，定期对中小学生进</w:t>
      </w:r>
      <w:r w:rsidRPr="00EA5142">
        <w:rPr>
          <w:rFonts w:ascii="宋体" w:eastAsia="宋体" w:hAnsi="宋体" w:cs="宋体" w:hint="eastAsia"/>
          <w:color w:val="333333"/>
          <w:kern w:val="0"/>
          <w:szCs w:val="21"/>
        </w:rPr>
        <w:lastRenderedPageBreak/>
        <w:t>行学生欺凌防治专题教育。共青团等有关部门、群团组织要指导学校团队组织开展以防治学生欺凌为主题的法治宣传教育实践活动。</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2.组织开展家长教育。各地防治学生欺凌工作领导小组成员单位要通过定期组织学校、社区开展专题培训课等方式，加强家长培训。学校要利用家长会或家委会等形式，加强家长家庭教育辅导和培训，引导学生家长增强法治意识，落实监护责任，帮助家长了解学生欺凌防治知识。</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3.严格学校日常管理。各地教育行政部门要结合全省“护校安园”专项行动，落实中小学生欺凌综合治理工作。学校根据实际成立由校长负责，教师、少先队大中队辅导员、教职工、社区工作者和家长代表、校外专家等人员组成的学生欺凌治理委员会（高中阶段学校还应吸纳学生代表）。加快推进将校园视频监控系统、紧急报警装置等接入公安机关、教育部门监控和报警平台，逐步建立校园安全网上巡查机制。学校要制定防治学生欺凌工作各项规章制度的工作要求，主要包括：相关岗位教职工防治学生欺凌的职责、学生欺凌事件应急处置预案、学生欺凌的早期预警和事中处理及事后干预的具体流程、校规校纪中对实施欺凌学生的处罚规定等。</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4.定期开展排查。各地防治学生欺凌工作领导小组要在学校自查的基础上开展</w:t>
      </w:r>
      <w:proofErr w:type="gramStart"/>
      <w:r w:rsidRPr="00EA5142">
        <w:rPr>
          <w:rFonts w:ascii="宋体" w:eastAsia="宋体" w:hAnsi="宋体" w:cs="宋体" w:hint="eastAsia"/>
          <w:color w:val="333333"/>
          <w:kern w:val="0"/>
          <w:szCs w:val="21"/>
        </w:rPr>
        <w:t>涉校涉生</w:t>
      </w:r>
      <w:proofErr w:type="gramEnd"/>
      <w:r w:rsidRPr="00EA5142">
        <w:rPr>
          <w:rFonts w:ascii="宋体" w:eastAsia="宋体" w:hAnsi="宋体" w:cs="宋体" w:hint="eastAsia"/>
          <w:color w:val="333333"/>
          <w:kern w:val="0"/>
          <w:szCs w:val="21"/>
        </w:rPr>
        <w:t>矛盾问题排查。各地教育行政部门要加强督促检查，通过委托专业第三方机构或组织学校开展等方式，定期开展针对全体学生的防止学生欺凌专项调查，及时查找可能发生欺凌事件的苗头迹象或已经发生、正在发生的欺凌事件。学校要</w:t>
      </w:r>
      <w:proofErr w:type="gramStart"/>
      <w:r w:rsidRPr="00EA5142">
        <w:rPr>
          <w:rFonts w:ascii="宋体" w:eastAsia="宋体" w:hAnsi="宋体" w:cs="宋体" w:hint="eastAsia"/>
          <w:color w:val="333333"/>
          <w:kern w:val="0"/>
          <w:szCs w:val="21"/>
        </w:rPr>
        <w:t>加强家</w:t>
      </w:r>
      <w:proofErr w:type="gramEnd"/>
      <w:r w:rsidRPr="00EA5142">
        <w:rPr>
          <w:rFonts w:ascii="宋体" w:eastAsia="宋体" w:hAnsi="宋体" w:cs="宋体" w:hint="eastAsia"/>
          <w:color w:val="333333"/>
          <w:kern w:val="0"/>
          <w:szCs w:val="21"/>
        </w:rPr>
        <w:t>校沟通，密切师生家长联系，及时掌握以留守儿童、离异或单亲家庭子女、进城务工人员子女为重点学生的思想情绪和同学关系状况，特别要关注学生有无学习成绩突然下滑、精神恍惚、情绪反常、无故旷课等异常表现，了解其产生的原因，对可能发生的学生欺凌事件做到早识别、早预防、早干预。</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（四）依法依规处置</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1.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对可能涉及违反治安管理或涉嫌犯罪的学生欺凌事件，学校要及时报告公安机关依法查处。原则上学</w:t>
      </w:r>
      <w:r w:rsidRPr="00EA5142">
        <w:rPr>
          <w:rFonts w:ascii="宋体" w:eastAsia="宋体" w:hAnsi="宋体" w:cs="宋体" w:hint="eastAsia"/>
          <w:color w:val="333333"/>
          <w:kern w:val="0"/>
          <w:szCs w:val="21"/>
        </w:rPr>
        <w:lastRenderedPageBreak/>
        <w:t>校应在启动调查处理程序10日内完成调查，根据有关规定处置。处理时应注意保护未成年人的合法权益，学校、家长、相关部门、群团组织及新闻媒体应注意保护受欺凌学生和知情学生的个人隐私，避免受欺凌学生遭受二次伤害。</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2.妥善处理申诉请求。各地教育行政部门要明确防治学生欺凌工作领导小组是具体负责防治学生欺凌工作的部门，并向社会公布负责人、成员单位和联络方式，接受群众举报、报告或申诉请求。学校学生欺凌治理委员会处理程序妥当、事件比较清晰的，应以学校学生欺凌治理委员会的处理结果为准；确需复查的，由县级防治学生欺凌工作部门组织学校代表、家长代表和校外专家等组成调查小组启动复查。复查工作应在15日内完成，对事件是否属于学生欺凌进行认定，提出处置意见并通知学校和家长、学生。</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县级防治学生欺凌工作部门接受申诉请求并启动复查程序的，应在复查工作结束后，及时将有关情况报上级防治学生欺凌工作部门备案。涉法涉诉案件等不宜由防治学生欺凌工作部门受理的，应明确告知当事人，引导其及时纳入相应法律程序办理。</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3.强化教育惩戒作用。对经调查认定实施欺凌的学生，学校学生欺凌治理委员会要根据实际情况，制定一定学时的专门教育方案并监督实施欺凌学生按要求接受教育，同时针对欺凌事件的不同情形予以相应惩戒。</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屡教不改或者情节恶劣的严重欺凌事件，必要时可将实施欺凌学生转送专门（工读）学校进行教育。未成年人送专门（工读）学校进行矫治和接受教育，应当按照《中华人民共和国预防未成年人犯罪法》有关规定，对构成有严重不良行为的，按专门（工读）学校招生入学程序报有关部门批准。</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lastRenderedPageBreak/>
        <w:t xml:space="preserve">　　涉及违反治安管理或者涉嫌犯罪的学生欺凌事件，处置以公安机关、人民法院、人民检察院为主。教育行政部门和学校要及时联络公安机关依法处置。各级公安、人民检察院、人民法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场所开展必要的教育矫治；对依法不予行政、刑事处罚的学生，学校要给予纪律处分，非义务教育阶段学校可视具体情节和危害程度给予留校察看、勒令退学、开除等处分，必要时可按照有关规定将其送专门（工读）学校。对校外成年人采取教唆、胁迫、诱骗等方式利用在校学生实施欺凌进行违法犯罪行为的，要根据《中华人民共和国刑法》及有关法律规定，对教唆未成年人犯罪的依法从重处罚。</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（五）建立长效机制</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各地各有关部门要加强制度建设，积极探索创新，逐步建立具有长效性、稳定性和约束力的防治学生欺凌工作机制。</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1.完善培训机制。明确将防治学生欺凌专题培训纳入教育行政干部和校长、教师在职培训内容。各地教育行政部门分管负责同志和具体工作人员每年应当接受必要的学生欺凌预防与处置专题面授培训。中小学校长、学校行政管理人员、班主任和教师等培训中应当增加学生欺凌预防与处置专题面授的内容。培训纳入相关人员继续教育学分。</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2.建立考评机制。将本区域学生欺凌综合治理工作情况作为考评内容，纳入平安校园、文明校园创建标准，纳入校园及周边综合治理考评，纳入相关部门负责同志年度考评，纳入校长学期和学年考评，纳入学校行政管理人员、教师、班主任及相关岗位教职工学期和学年考评。</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3.</w:t>
      </w:r>
      <w:proofErr w:type="gramStart"/>
      <w:r w:rsidRPr="00EA5142">
        <w:rPr>
          <w:rFonts w:ascii="宋体" w:eastAsia="宋体" w:hAnsi="宋体" w:cs="宋体" w:hint="eastAsia"/>
          <w:color w:val="333333"/>
          <w:kern w:val="0"/>
          <w:szCs w:val="21"/>
        </w:rPr>
        <w:t>建立问责处理</w:t>
      </w:r>
      <w:proofErr w:type="gramEnd"/>
      <w:r w:rsidRPr="00EA5142">
        <w:rPr>
          <w:rFonts w:ascii="宋体" w:eastAsia="宋体" w:hAnsi="宋体" w:cs="宋体" w:hint="eastAsia"/>
          <w:color w:val="333333"/>
          <w:kern w:val="0"/>
          <w:szCs w:val="21"/>
        </w:rPr>
        <w:t>机制。把防治学生欺凌工作专项督导结果作为评价政府教育工作成效的重要内容。对职责落实不到位、学生欺凌问题突出的地区和单位通过通报、约谈、挂牌督办、实施一票否决权制等方式进行综治领导责任追究。学生欺凌事件中存在失职渎职行为，因违纪违法应当承担责任的，给予党纪政纪处分；构成犯罪的，依法追究刑事责任。</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lastRenderedPageBreak/>
        <w:t xml:space="preserve">　　4.健全依法治理机制。建立健全中小学校法制副校长或法制辅导员制度，明确法制副校长或法制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5.构建专业研究与评估机制。支持高校、中小学校和相关专门科研机构加强对学生欺凌问题进行专题学术研究，逐步建立学生欺凌数据监测、评估体系，形成理论研究指导和提高实践能力的良性互动。</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四、职责分工</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（一）教育行政部门负责对学生欺凌治理进行组织、指导、协调和监督，牵头做好专门（工读）学校的建设工作，是学生欺凌综合治理的牵头单位。</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（二）综治部门负责推动将学生欺凌专项治理纳入社会治安综合治理工作，强化学校周边综合治理，落实社会治安综合治理领导责任制。</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三）人民法院负责依法妥善审理学生欺凌相关案件，通过案件审理，对学生欺凌刑事案件准确定罪量刑，对学生欺凌民事案件厘清相关民事责任，促进矛盾化解工作；以开展模拟法庭等形式配合学校做好法治宣传教育工作。</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（四）人民检察院负责依法对学生欺凌案件进行审查逮捕、审查起诉，开展法律监督，并以案释法，积极参与学校法治宣传教育。</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五）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（六）民政部门负责引导社会力量加强对被欺凌学生及其家庭的帮扶救助，协助教育部门组织社会工作者等专业人员为中小学校提供专业辅导，配合有关部门鼓励社会组织参与学生欺凌防治和帮扶工作。</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（七）司法行政部门负责做好未成年犯的教育改造工作，指导协调开展以未成年人相关法律法规为重点的法治宣传教育，做好未成年人法律援助和法律服务工作，有效保护未成年人的合法权益。</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lastRenderedPageBreak/>
        <w:t xml:space="preserve">　　（八）人力资源社会保障部门负责指导技工学校做好学生欺凌事件的预防和处置工作。</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（九）共青团组织负责切实履行综治委预防青少年违法犯罪工作领导小组办公室职责，配合教育行政部门并协调推动相关部门，建立预防遏制学生欺凌工作协调机制，积极参与学生欺凌防治工作。在有条件的地方</w:t>
      </w:r>
      <w:proofErr w:type="gramStart"/>
      <w:r w:rsidRPr="00EA5142">
        <w:rPr>
          <w:rFonts w:ascii="宋体" w:eastAsia="宋体" w:hAnsi="宋体" w:cs="宋体" w:hint="eastAsia"/>
          <w:color w:val="333333"/>
          <w:kern w:val="0"/>
          <w:szCs w:val="21"/>
        </w:rPr>
        <w:t>引入驻</w:t>
      </w:r>
      <w:proofErr w:type="gramEnd"/>
      <w:r w:rsidRPr="00EA5142">
        <w:rPr>
          <w:rFonts w:ascii="宋体" w:eastAsia="宋体" w:hAnsi="宋体" w:cs="宋体" w:hint="eastAsia"/>
          <w:color w:val="333333"/>
          <w:kern w:val="0"/>
          <w:szCs w:val="21"/>
        </w:rPr>
        <w:t>校青少年事务社工。</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（十）妇联组织负责配合有关部门开展预防学生欺凌相关知识的宣传教育，引导家长正确履行监护职责。</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（十一）残联组织负责积极维护残疾儿童、少年合法权益，配合有关部门做好残疾学生权益保护相关法律法规的宣传教育，切实加强残疾学生遭受欺凌的风险防控，协助提供有关法律服务。</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五、工作要求</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一）深入细致部署。各地各有关部门要按照属地管理、分级负责的原则，加强学生欺凌综合治理。根据治理内容、措施及分工要求，明确负责人和具体联系人，结合本地区、本部门实际制订具体实施方案，落实工作责任。请于2018年6月25日前将本级防治学生欺凌工作负责人和联系人名单、实施方案报送省教育厅安全处。</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二）加强督导检查。市级教育督导部门要联合其他有关部门，定期对行政区域内防治学生欺凌工作情况进行督导检查。县级教育督导部门要对县域内学校按要求开展欺凌防治教育活动、制定应急预案和处置流程等办法措施、在校规校纪中完善防治学生欺凌内容、开展培训、及时处置学生欺凌事件等重点工作开展情况进行专项督导检查。</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省教育督导委员会办公室适时组织联合督查组对全省防治学生欺凌工作进行专项督导，督导结果向社会公开。</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（三）强化宣传引导。结合普法工作，开展法治宣传进校园活动，加强对防治学生欺凌工作的正面宣传引导，推广防治学生欺凌的先进典型、先进经验，普及防治学生欺凌知</w:t>
      </w:r>
      <w:r w:rsidRPr="00EA5142">
        <w:rPr>
          <w:rFonts w:ascii="宋体" w:eastAsia="宋体" w:hAnsi="宋体" w:cs="宋体" w:hint="eastAsia"/>
          <w:color w:val="333333"/>
          <w:kern w:val="0"/>
          <w:szCs w:val="21"/>
        </w:rPr>
        <w:lastRenderedPageBreak/>
        <w:t>识和方法。对已发生的学生欺凌事件要及时回应社会关切，充分满足群众信息需求。教育行政部门要联系当地主要新闻媒体共同发布</w:t>
      </w:r>
      <w:proofErr w:type="gramStart"/>
      <w:r w:rsidRPr="00EA5142">
        <w:rPr>
          <w:rFonts w:ascii="宋体" w:eastAsia="宋体" w:hAnsi="宋体" w:cs="宋体" w:hint="eastAsia"/>
          <w:color w:val="333333"/>
          <w:kern w:val="0"/>
          <w:szCs w:val="21"/>
        </w:rPr>
        <w:t>反学生</w:t>
      </w:r>
      <w:proofErr w:type="gramEnd"/>
      <w:r w:rsidRPr="00EA5142">
        <w:rPr>
          <w:rFonts w:ascii="宋体" w:eastAsia="宋体" w:hAnsi="宋体" w:cs="宋体" w:hint="eastAsia"/>
          <w:color w:val="333333"/>
          <w:kern w:val="0"/>
          <w:szCs w:val="21"/>
        </w:rPr>
        <w:t>欺凌绿色报道倡议书，营造</w:t>
      </w:r>
      <w:proofErr w:type="gramStart"/>
      <w:r w:rsidRPr="00EA5142">
        <w:rPr>
          <w:rFonts w:ascii="宋体" w:eastAsia="宋体" w:hAnsi="宋体" w:cs="宋体" w:hint="eastAsia"/>
          <w:color w:val="333333"/>
          <w:kern w:val="0"/>
          <w:szCs w:val="21"/>
        </w:rPr>
        <w:t>反学生</w:t>
      </w:r>
      <w:proofErr w:type="gramEnd"/>
      <w:r w:rsidRPr="00EA5142">
        <w:rPr>
          <w:rFonts w:ascii="宋体" w:eastAsia="宋体" w:hAnsi="宋体" w:cs="宋体" w:hint="eastAsia"/>
          <w:color w:val="333333"/>
          <w:kern w:val="0"/>
          <w:szCs w:val="21"/>
        </w:rPr>
        <w:t>欺凌报道宣传的良好氛围。</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（四）加强信息报送。各地各校要按照政府信息报告和政府信息公开相关制度加强信息报送，瞒报、漏报、虚报或</w:t>
      </w:r>
      <w:bookmarkStart w:id="0" w:name="_GoBack"/>
      <w:bookmarkEnd w:id="0"/>
      <w:r w:rsidRPr="00EA5142">
        <w:rPr>
          <w:rFonts w:ascii="宋体" w:eastAsia="宋体" w:hAnsi="宋体" w:cs="宋体" w:hint="eastAsia"/>
          <w:color w:val="333333"/>
          <w:kern w:val="0"/>
          <w:szCs w:val="21"/>
        </w:rPr>
        <w:t>拒报学生欺凌事件有关信息，被媒体曝光，造成较大社会影响的，将按有关规定追究责任。</w:t>
      </w:r>
    </w:p>
    <w:p w:rsidR="00EA5142" w:rsidRPr="00EA5142" w:rsidRDefault="00EA5142" w:rsidP="00EA5142">
      <w:pPr>
        <w:widowControl/>
        <w:adjustRightInd w:val="0"/>
        <w:snapToGrid w:val="0"/>
        <w:spacing w:line="510" w:lineRule="atLeast"/>
        <w:jc w:val="left"/>
        <w:rPr>
          <w:rFonts w:ascii="宋体" w:eastAsia="宋体" w:hAnsi="宋体" w:cs="宋体" w:hint="eastAsia"/>
          <w:color w:val="333333"/>
          <w:kern w:val="0"/>
          <w:szCs w:val="21"/>
        </w:rPr>
      </w:pPr>
      <w:r w:rsidRPr="00EA5142">
        <w:rPr>
          <w:rFonts w:ascii="宋体" w:eastAsia="宋体" w:hAnsi="宋体" w:cs="宋体" w:hint="eastAsia"/>
          <w:color w:val="333333"/>
          <w:kern w:val="0"/>
          <w:szCs w:val="21"/>
        </w:rPr>
        <w:t xml:space="preserve">　　（五）及时全面总结。各地各校要及时做好防治学生欺凌工作总结，一方面围绕取得的成绩和经验，认真总结防治学生欺凌工作中带有启示性、经验性的做法；另一方面围绕面临的困难和不足，认真查找防治学生欺凌工作与社会、家长和学生需求的差距、不足和薄弱环节，查找问题真正的根源，汲取教训，研究改进，推动防治学生欺凌工作进一步取得实效。</w:t>
      </w:r>
    </w:p>
    <w:p w:rsidR="00AA0BBE" w:rsidRPr="00EA5142" w:rsidRDefault="00AA0BBE" w:rsidP="00EA5142">
      <w:pPr>
        <w:adjustRightInd w:val="0"/>
        <w:snapToGrid w:val="0"/>
        <w:rPr>
          <w:szCs w:val="21"/>
        </w:rPr>
      </w:pPr>
    </w:p>
    <w:sectPr w:rsidR="00AA0BBE" w:rsidRPr="00EA5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42"/>
    <w:rsid w:val="00AA0BBE"/>
    <w:rsid w:val="00EA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4D76F-CCCC-4C5C-9C44-3AE2F004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EA5142"/>
    <w:pPr>
      <w:widowControl/>
      <w:jc w:val="left"/>
      <w:outlineLvl w:val="2"/>
    </w:pPr>
    <w:rPr>
      <w:rFonts w:ascii="宋体" w:eastAsia="宋体" w:hAnsi="宋体" w:cs="宋体"/>
      <w:b/>
      <w:bCs/>
      <w:kern w:val="0"/>
      <w:sz w:val="27"/>
      <w:szCs w:val="27"/>
    </w:rPr>
  </w:style>
  <w:style w:type="paragraph" w:styleId="4">
    <w:name w:val="heading 4"/>
    <w:basedOn w:val="a"/>
    <w:link w:val="40"/>
    <w:uiPriority w:val="9"/>
    <w:qFormat/>
    <w:rsid w:val="00EA5142"/>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A5142"/>
    <w:rPr>
      <w:rFonts w:ascii="宋体" w:eastAsia="宋体" w:hAnsi="宋体" w:cs="宋体"/>
      <w:b/>
      <w:bCs/>
      <w:kern w:val="0"/>
      <w:sz w:val="27"/>
      <w:szCs w:val="27"/>
    </w:rPr>
  </w:style>
  <w:style w:type="character" w:customStyle="1" w:styleId="40">
    <w:name w:val="标题 4 字符"/>
    <w:basedOn w:val="a0"/>
    <w:link w:val="4"/>
    <w:uiPriority w:val="9"/>
    <w:rsid w:val="00EA5142"/>
    <w:rPr>
      <w:rFonts w:ascii="宋体" w:eastAsia="宋体" w:hAnsi="宋体" w:cs="宋体"/>
      <w:b/>
      <w:bCs/>
      <w:kern w:val="0"/>
      <w:sz w:val="24"/>
      <w:szCs w:val="24"/>
    </w:rPr>
  </w:style>
  <w:style w:type="character" w:styleId="a3">
    <w:name w:val="Hyperlink"/>
    <w:basedOn w:val="a0"/>
    <w:uiPriority w:val="99"/>
    <w:semiHidden/>
    <w:unhideWhenUsed/>
    <w:rsid w:val="00EA5142"/>
    <w:rPr>
      <w:strike w:val="0"/>
      <w:dstrike w:val="0"/>
      <w:color w:val="333333"/>
      <w:u w:val="none"/>
      <w:effect w:val="none"/>
    </w:rPr>
  </w:style>
  <w:style w:type="character" w:styleId="a4">
    <w:name w:val="Strong"/>
    <w:basedOn w:val="a0"/>
    <w:uiPriority w:val="22"/>
    <w:qFormat/>
    <w:rsid w:val="00EA5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59636">
      <w:bodyDiv w:val="1"/>
      <w:marLeft w:val="0"/>
      <w:marRight w:val="0"/>
      <w:marTop w:val="0"/>
      <w:marBottom w:val="0"/>
      <w:divBdr>
        <w:top w:val="none" w:sz="0" w:space="0" w:color="auto"/>
        <w:left w:val="none" w:sz="0" w:space="0" w:color="auto"/>
        <w:bottom w:val="none" w:sz="0" w:space="0" w:color="auto"/>
        <w:right w:val="none" w:sz="0" w:space="0" w:color="auto"/>
      </w:divBdr>
      <w:divsChild>
        <w:div w:id="964308129">
          <w:marLeft w:val="0"/>
          <w:marRight w:val="0"/>
          <w:marTop w:val="0"/>
          <w:marBottom w:val="0"/>
          <w:divBdr>
            <w:top w:val="none" w:sz="0" w:space="0" w:color="auto"/>
            <w:left w:val="none" w:sz="0" w:space="0" w:color="auto"/>
            <w:bottom w:val="none" w:sz="0" w:space="0" w:color="auto"/>
            <w:right w:val="none" w:sz="0" w:space="0" w:color="auto"/>
          </w:divBdr>
          <w:divsChild>
            <w:div w:id="411318691">
              <w:marLeft w:val="0"/>
              <w:marRight w:val="0"/>
              <w:marTop w:val="0"/>
              <w:marBottom w:val="0"/>
              <w:divBdr>
                <w:top w:val="none" w:sz="0" w:space="0" w:color="auto"/>
                <w:left w:val="none" w:sz="0" w:space="0" w:color="auto"/>
                <w:bottom w:val="none" w:sz="0" w:space="0" w:color="auto"/>
                <w:right w:val="none" w:sz="0" w:space="0" w:color="auto"/>
              </w:divBdr>
              <w:divsChild>
                <w:div w:id="1221940407">
                  <w:marLeft w:val="0"/>
                  <w:marRight w:val="0"/>
                  <w:marTop w:val="0"/>
                  <w:marBottom w:val="0"/>
                  <w:divBdr>
                    <w:top w:val="none" w:sz="0" w:space="0" w:color="auto"/>
                    <w:left w:val="none" w:sz="0" w:space="0" w:color="auto"/>
                    <w:bottom w:val="none" w:sz="0" w:space="0" w:color="auto"/>
                    <w:right w:val="none" w:sz="0" w:space="0" w:color="auto"/>
                  </w:divBdr>
                  <w:divsChild>
                    <w:div w:id="13832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fujian.gov.cn/xxgk/zywj/201806/t20180608_3571485.htm" TargetMode="External"/><Relationship Id="rId5" Type="http://schemas.openxmlformats.org/officeDocument/2006/relationships/hyperlink" Target="http://jyt.fujian.gov.cn/xxgk/zywj/201806/t20180608_3571485.htm" TargetMode="External"/><Relationship Id="rId4" Type="http://schemas.openxmlformats.org/officeDocument/2006/relationships/hyperlink" Target="http://jyt.fujian.gov.cn/xxgk/zywj/201806/t20180608_357148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1006</Words>
  <Characters>5738</Characters>
  <Application>Microsoft Office Word</Application>
  <DocSecurity>0</DocSecurity>
  <Lines>47</Lines>
  <Paragraphs>13</Paragraphs>
  <ScaleCrop>false</ScaleCrop>
  <Company>Hewlett-Packard Company</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2020-06-22T02:41:00Z</dcterms:created>
  <dcterms:modified xsi:type="dcterms:W3CDTF">2020-06-22T02:42:00Z</dcterms:modified>
</cp:coreProperties>
</file>