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210"/>
      </w:pPr>
      <w:bookmarkStart w:id="0" w:name="_GoBack"/>
      <w:r>
        <w:rPr>
          <w:rStyle w:val="5"/>
          <w:b/>
          <w:bdr w:val="none" w:color="auto" w:sz="0" w:space="0"/>
          <w:shd w:val="clear" w:fill="FFFFFF"/>
        </w:rPr>
        <w:t>2018广东《加强中小学生欺凌综合治理方案的实施办法（试行）》全文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21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Style w:val="9"/>
          <w:rFonts w:hint="eastAsia" w:ascii="宋体" w:hAnsi="宋体" w:eastAsia="宋体" w:cs="宋体"/>
          <w:sz w:val="24"/>
          <w:szCs w:val="24"/>
          <w:bdr w:val="none" w:color="auto" w:sz="0" w:space="0"/>
          <w:shd w:val="clear" w:fill="FFFFFF"/>
          <w:lang w:val="en-US" w:eastAsia="zh-CN" w:bidi="ar"/>
        </w:rPr>
        <w:t>发布时间：2018-11-13 14:04</w:t>
      </w:r>
      <w:r>
        <w:rPr>
          <w:rStyle w:val="10"/>
          <w:rFonts w:hint="eastAsia" w:ascii="宋体" w:hAnsi="宋体" w:eastAsia="宋体" w:cs="宋体"/>
          <w:sz w:val="24"/>
          <w:szCs w:val="24"/>
          <w:bdr w:val="none" w:color="auto" w:sz="0" w:space="0"/>
          <w:shd w:val="clear" w:fill="FFFFFF"/>
          <w:lang w:val="en-US" w:eastAsia="zh-CN" w:bidi="ar"/>
        </w:rPr>
        <w:t>来源：广东省教育厅</w:t>
      </w:r>
    </w:p>
    <w:p>
      <w:pPr>
        <w:pStyle w:val="3"/>
        <w:keepNext w:val="0"/>
        <w:keepLines w:val="0"/>
        <w:widowControl/>
        <w:suppressLineNumbers w:val="0"/>
        <w:spacing w:before="226" w:beforeAutospacing="0" w:after="0" w:afterAutospacing="0" w:line="405" w:lineRule="atLeast"/>
        <w:ind w:left="0" w:right="210"/>
      </w:pPr>
      <w:r>
        <w:rPr>
          <w:rFonts w:hint="eastAsia" w:ascii="宋体" w:hAnsi="宋体" w:eastAsia="宋体" w:cs="宋体"/>
          <w:color w:val="000000"/>
          <w:sz w:val="24"/>
          <w:szCs w:val="24"/>
          <w:bdr w:val="none" w:color="auto" w:sz="0" w:space="0"/>
          <w:shd w:val="clear" w:fill="FFFFFF"/>
        </w:rPr>
        <w:t>【导语】：</w:t>
      </w:r>
      <w:r>
        <w:rPr>
          <w:rFonts w:hint="eastAsia" w:ascii="宋体" w:hAnsi="宋体" w:eastAsia="宋体" w:cs="宋体"/>
          <w:color w:val="777777"/>
          <w:sz w:val="24"/>
          <w:szCs w:val="24"/>
          <w:bdr w:val="none" w:color="auto" w:sz="0" w:space="0"/>
          <w:shd w:val="clear" w:fill="FFFFFF"/>
        </w:rPr>
        <w:t>11月12日，广东省教育厅等13部门联合出台了《加强中小学生欺凌综合治理方案的实施办法（试行）》，对校园欺凌的分类、预防、治理等问题作出明确规定。《实施办法》自12月1日起生效。</w:t>
      </w:r>
    </w:p>
    <w:p>
      <w:pPr>
        <w:pStyle w:val="3"/>
        <w:keepNext w:val="0"/>
        <w:keepLines w:val="0"/>
        <w:widowControl/>
        <w:suppressLineNumbers w:val="0"/>
        <w:spacing w:before="226" w:beforeAutospacing="0" w:after="0" w:afterAutospacing="0" w:line="405" w:lineRule="atLeast"/>
        <w:ind w:left="0" w:right="21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center"/>
      </w:pPr>
      <w:r>
        <w:rPr>
          <w:rStyle w:val="5"/>
          <w:rFonts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  <w:t>广东省教育厅等十三部门关于印发《加强中小学生欺凌综合治理方案的实施办法(试行)》的通知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center"/>
      </w:pPr>
      <w:r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  <w:t>粤教保〔2018〕13号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</w:pPr>
      <w:r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  <w:t>各地级以上市教育局、宣传部、政法委、中级人民法院、人民检察院、公安局、民政局、司法局、人力资源和社会保障(人力资源)局、卫生计生局(委)、团委、妇联、残联：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</w:pPr>
      <w:r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  <w:t>　　根据《教育部等十一部门关于印发〈加强中小学生欺凌综合治理方案〉的通知》(教督〔2017〕10号)精神，省教育厅等十三部门制定了《加强中小学生欺凌综合治理方案的实施办法(试行)》，现印发给你们，请贯彻执行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</w:pPr>
      <w:r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color w:val="2371C8"/>
          <w:sz w:val="27"/>
          <w:szCs w:val="27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color w:val="2371C8"/>
          <w:sz w:val="27"/>
          <w:szCs w:val="27"/>
          <w:u w:val="none"/>
          <w:bdr w:val="none" w:color="auto" w:sz="0" w:space="0"/>
          <w:shd w:val="clear" w:fill="FFFFFF"/>
        </w:rPr>
        <w:instrText xml:space="preserve"> HYPERLINK "http://www.gdhed.edu.cn/publicfiles/business/htmlfiles/gdjyt/cmsmedia/document/2018/10/doc80925.pdf" \t "http://gz.bendibao.com/news/20181113/_blank" </w:instrText>
      </w:r>
      <w:r>
        <w:rPr>
          <w:rFonts w:hint="eastAsia" w:ascii="微软雅黑" w:hAnsi="微软雅黑" w:eastAsia="微软雅黑" w:cs="微软雅黑"/>
          <w:color w:val="2371C8"/>
          <w:sz w:val="27"/>
          <w:szCs w:val="27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color w:val="2371C8"/>
          <w:sz w:val="27"/>
          <w:szCs w:val="27"/>
          <w:u w:val="none"/>
          <w:bdr w:val="none" w:color="auto" w:sz="0" w:space="0"/>
          <w:shd w:val="clear" w:fill="FFFFFF"/>
        </w:rPr>
        <w:t>粤教保[2018]13号(PDF版).pdf</w:t>
      </w:r>
      <w:r>
        <w:rPr>
          <w:rFonts w:hint="eastAsia" w:ascii="微软雅黑" w:hAnsi="微软雅黑" w:eastAsia="微软雅黑" w:cs="微软雅黑"/>
          <w:color w:val="2371C8"/>
          <w:sz w:val="27"/>
          <w:szCs w:val="27"/>
          <w:u w:val="none"/>
          <w:bdr w:val="none" w:color="auto" w:sz="0" w:space="0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right"/>
      </w:pPr>
      <w:r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  <w:t>　　广东省教育厅 中共广东省委宣传部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right"/>
      </w:pPr>
      <w:r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  <w:t>　　中共广东省委政法委员会 广东省高级人民法院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right"/>
      </w:pPr>
      <w:r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  <w:t>　　广东省人民检察院 广东省公安厅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right"/>
      </w:pPr>
      <w:r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  <w:t>　　广东省民政厅 广东省司法厅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right"/>
      </w:pPr>
      <w:r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  <w:t>　　广东省人力资源和社会保障厅 广东省卫生和计划生育委员会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right"/>
      </w:pPr>
      <w:r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  <w:t>　　共青团广东省委员会 广东省妇女联合会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right"/>
      </w:pPr>
      <w:r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  <w:t>　　广东省残疾人联合会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 w:firstLine="540"/>
        <w:jc w:val="right"/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  <w:t>2018年10月30日</w:t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48300" cy="6276975"/>
            <wp:effectExtent l="0" t="0" r="0" b="9525"/>
            <wp:docPr id="41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48300" cy="6267450"/>
            <wp:effectExtent l="0" t="0" r="0" b="0"/>
            <wp:docPr id="42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57825" cy="6772275"/>
            <wp:effectExtent l="0" t="0" r="9525" b="9525"/>
            <wp:docPr id="43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 w:firstLine="540"/>
        <w:jc w:val="right"/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38775" cy="6000750"/>
            <wp:effectExtent l="0" t="0" r="9525" b="0"/>
            <wp:docPr id="38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center"/>
      </w:pP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391150" cy="6248400"/>
            <wp:effectExtent l="0" t="0" r="0" b="0"/>
            <wp:docPr id="39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center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 w:firstLine="540"/>
        <w:jc w:val="right"/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29250" cy="6257925"/>
            <wp:effectExtent l="0" t="0" r="0" b="9525"/>
            <wp:docPr id="40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center"/>
        <w:rPr>
          <w:rFonts w:ascii="微软雅黑" w:hAnsi="微软雅黑" w:eastAsia="微软雅黑" w:cs="微软雅黑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29250" cy="635317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38775" cy="6372225"/>
            <wp:effectExtent l="0" t="0" r="952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29250" cy="636270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center"/>
        <w:rPr>
          <w:rFonts w:ascii="微软雅黑" w:hAnsi="微软雅黑" w:eastAsia="微软雅黑" w:cs="微软雅黑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/>
        <w:jc w:val="center"/>
        <w:rPr>
          <w:rFonts w:ascii="微软雅黑" w:hAnsi="微软雅黑" w:eastAsia="微软雅黑" w:cs="微软雅黑"/>
          <w:sz w:val="27"/>
          <w:szCs w:val="27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 w:firstLine="540"/>
        <w:jc w:val="right"/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 w:firstLine="540"/>
        <w:jc w:val="right"/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57825" cy="6257925"/>
            <wp:effectExtent l="0" t="0" r="9525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48300" cy="6324600"/>
            <wp:effectExtent l="0" t="0" r="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9725" cy="6296025"/>
            <wp:effectExtent l="0" t="0" r="9525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9725" cy="6276975"/>
            <wp:effectExtent l="0" t="0" r="9525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9725" cy="6324600"/>
            <wp:effectExtent l="0" t="0" r="9525" b="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80" w:lineRule="atLeast"/>
        <w:ind w:left="0" w:right="210" w:firstLine="540"/>
        <w:jc w:val="right"/>
        <w:rPr>
          <w:rFonts w:hint="eastAsia" w:ascii="微软雅黑" w:hAnsi="微软雅黑" w:eastAsia="微软雅黑" w:cs="微软雅黑"/>
          <w:sz w:val="27"/>
          <w:szCs w:val="27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0200" cy="6305550"/>
            <wp:effectExtent l="0" t="0" r="0" b="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29250" cy="6238875"/>
            <wp:effectExtent l="0" t="0" r="0" b="952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9725" cy="6296025"/>
            <wp:effectExtent l="0" t="0" r="9525" b="952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29250" cy="6362700"/>
            <wp:effectExtent l="0" t="0" r="0" b="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29250" cy="6343650"/>
            <wp:effectExtent l="0" t="0" r="0" b="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9725" cy="6219825"/>
            <wp:effectExtent l="0" t="0" r="9525" b="9525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29250" cy="6400800"/>
            <wp:effectExtent l="0" t="0" r="0" b="0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38775" cy="6238875"/>
            <wp:effectExtent l="0" t="0" r="9525" b="9525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0200" cy="6305550"/>
            <wp:effectExtent l="0" t="0" r="0" b="0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9725" cy="6372225"/>
            <wp:effectExtent l="0" t="0" r="9525" b="9525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9725" cy="6286500"/>
            <wp:effectExtent l="0" t="0" r="9525" b="0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0200" cy="6343650"/>
            <wp:effectExtent l="0" t="0" r="0" b="0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391150" cy="6296025"/>
            <wp:effectExtent l="0" t="0" r="0" b="9525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391150" cy="6296025"/>
            <wp:effectExtent l="0" t="0" r="0" b="9525"/>
            <wp:docPr id="31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0200" cy="6296025"/>
            <wp:effectExtent l="0" t="0" r="0" b="9525"/>
            <wp:docPr id="3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0200" cy="6200775"/>
            <wp:effectExtent l="0" t="0" r="0" b="9525"/>
            <wp:docPr id="33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372100" cy="6181725"/>
            <wp:effectExtent l="0" t="0" r="0" b="9525"/>
            <wp:docPr id="34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00675" cy="6229350"/>
            <wp:effectExtent l="0" t="0" r="9525" b="0"/>
            <wp:docPr id="35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410200" cy="6286500"/>
            <wp:effectExtent l="0" t="0" r="0" b="0"/>
            <wp:docPr id="36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372100" cy="6248400"/>
            <wp:effectExtent l="0" t="0" r="0" b="0"/>
            <wp:docPr id="37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C640B4"/>
    <w:rsid w:val="2DC640B4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333333"/>
      <w:u w:val="none"/>
    </w:rPr>
  </w:style>
  <w:style w:type="character" w:styleId="7">
    <w:name w:val="Hyperlink"/>
    <w:basedOn w:val="4"/>
    <w:uiPriority w:val="0"/>
    <w:rPr>
      <w:color w:val="333333"/>
      <w:u w:val="none"/>
    </w:rPr>
  </w:style>
  <w:style w:type="character" w:customStyle="1" w:styleId="9">
    <w:name w:val="time1"/>
    <w:basedOn w:val="4"/>
    <w:uiPriority w:val="0"/>
    <w:rPr>
      <w:color w:val="999999"/>
    </w:rPr>
  </w:style>
  <w:style w:type="character" w:customStyle="1" w:styleId="10">
    <w:name w:val="form1"/>
    <w:basedOn w:val="4"/>
    <w:uiPriority w:val="0"/>
    <w:rPr>
      <w:color w:val="99999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2020-06-22T01:19:00Z</dcterms:created>
  <dc:creator>admin</dc:creator>
  <cp:lastModifiedBy>admin</cp:lastModifiedBy>
  <dcterms:modified xsi:type="dcterms:W3CDTF">2020-06-22T01:39:30Z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